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B">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Framework Contract Reference number] for the provision of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name of goods and services].   </w:t>
      </w:r>
    </w:p>
    <w:p w:rsidR="00000000" w:rsidDel="00000000" w:rsidP="00000000" w:rsidRDefault="00000000" w:rsidRPr="00000000" w14:paraId="0000001C">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D">
      <w:pPr>
        <w:tabs>
          <w:tab w:val="left"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CALL-OFF LOT(S):</w:t>
      </w:r>
    </w:p>
    <w:p w:rsidR="00000000" w:rsidDel="00000000" w:rsidP="00000000" w:rsidRDefault="00000000" w:rsidRPr="00000000" w14:paraId="0000001E">
      <w:pPr>
        <w:tabs>
          <w:tab w:val="left" w:pos="2257"/>
        </w:tabs>
        <w:spacing w:after="0" w:line="259" w:lineRule="auto"/>
        <w:ind w:left="2880" w:hanging="2880"/>
        <w:rPr>
          <w:rFonts w:ascii="Arial" w:cs="Arial" w:eastAsia="Arial" w:hAnsi="Arial"/>
          <w:b w:val="1"/>
          <w:i w:val="1"/>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relevant lot numbers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Not applicable]</w:t>
      </w:r>
      <w:r w:rsidDel="00000000" w:rsidR="00000000" w:rsidRPr="00000000">
        <w:rPr>
          <w:rtl w:val="0"/>
        </w:rPr>
      </w:r>
    </w:p>
    <w:p w:rsidR="00000000" w:rsidDel="00000000" w:rsidP="00000000" w:rsidRDefault="00000000" w:rsidRPr="00000000" w14:paraId="0000001F">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0">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21">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22">
      <w:pPr>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Call-Off Special Terms and Call-Off Special Schedules.</w:t>
      </w:r>
    </w:p>
    <w:p w:rsidR="00000000" w:rsidDel="00000000" w:rsidP="00000000" w:rsidRDefault="00000000" w:rsidRPr="00000000" w14:paraId="00000023">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1(Definitions and Interpretation)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framework reference number]</w:t>
      </w:r>
    </w:p>
    <w:p w:rsidR="00000000" w:rsidDel="00000000" w:rsidP="00000000" w:rsidRDefault="00000000" w:rsidRPr="00000000" w14:paraId="00000024">
      <w:pPr>
        <w:keepNext w:val="1"/>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25">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CCS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 that is not listed in the final Framework Award Form.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Joint or Call-Off Schedules that have been added to the final Framework Award Form. You</w:t>
      </w:r>
      <w:r w:rsidDel="00000000" w:rsidR="00000000" w:rsidRPr="00000000">
        <w:rPr>
          <w:rFonts w:ascii="Arial" w:cs="Arial" w:eastAsia="Arial" w:hAnsi="Arial"/>
          <w:b w:val="1"/>
          <w:color w:val="000000"/>
          <w:sz w:val="24"/>
          <w:szCs w:val="24"/>
          <w:rtl w:val="0"/>
        </w:rPr>
        <w:t xml:space="preserve"> must </w:t>
      </w:r>
      <w:r w:rsidDel="00000000" w:rsidR="00000000" w:rsidRPr="00000000">
        <w:rPr>
          <w:rFonts w:ascii="Arial" w:cs="Arial" w:eastAsia="Arial" w:hAnsi="Arial"/>
          <w:color w:val="000000"/>
          <w:sz w:val="24"/>
          <w:szCs w:val="24"/>
          <w:rtl w:val="0"/>
        </w:rPr>
        <w:t xml:space="preserve">ensure that all schedules in this list are available to Buyers on the CCS web site, as finalised at Framework award.]</w:t>
      </w:r>
    </w:p>
    <w:p w:rsidR="00000000" w:rsidDel="00000000" w:rsidP="00000000" w:rsidRDefault="00000000" w:rsidRPr="00000000" w14:paraId="00000027">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framework agreement.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A">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 </w:t>
      </w:r>
      <w:r w:rsidDel="00000000" w:rsidR="00000000" w:rsidRPr="00000000">
        <w:rPr>
          <w:rtl w:val="0"/>
        </w:rPr>
        <w:t xml:space="preserve">     </w:t>
      </w:r>
      <w:r w:rsidDel="00000000" w:rsidR="00000000" w:rsidRPr="00000000">
        <w:rPr>
          <w:rFonts w:ascii="Arial" w:cs="Arial" w:eastAsia="Arial" w:hAnsi="Arial"/>
          <w:b w:val="1"/>
          <w:color w:val="000000"/>
          <w:sz w:val="24"/>
          <w:szCs w:val="24"/>
          <w:rtl w:val="0"/>
        </w:rPr>
        <w:t xml:space="preserve">RM6187</w:t>
      </w:r>
      <w:r w:rsidDel="00000000" w:rsidR="00000000" w:rsidRPr="00000000">
        <w:rPr>
          <w:rtl w:val="0"/>
        </w:rPr>
      </w:r>
    </w:p>
    <w:p w:rsidR="00000000" w:rsidDel="00000000" w:rsidP="00000000" w:rsidRDefault="00000000" w:rsidRPr="00000000" w14:paraId="0000002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2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2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2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6 (Key Subcontractors)</w:t>
        <w:tab/>
        <w:tab/>
        <w:tab/>
        <w:t xml:space="preserve">]</w:t>
      </w:r>
    </w:p>
    <w:p w:rsidR="00000000" w:rsidDel="00000000" w:rsidP="00000000" w:rsidRDefault="00000000" w:rsidRPr="00000000" w14:paraId="0000002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7 (Financial Difficulties) </w:t>
        <w:tab/>
        <w:tab/>
        <w:tab/>
        <w:t xml:space="preserve">]</w:t>
      </w:r>
    </w:p>
    <w:p w:rsidR="00000000" w:rsidDel="00000000" w:rsidP="00000000" w:rsidRDefault="00000000" w:rsidRPr="00000000" w14:paraId="0000003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8 (Guarantee) </w:t>
        <w:tab/>
        <w:tab/>
        <w:tab/>
        <w:tab/>
        <w:t xml:space="preserve">]</w:t>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9 (Minimum Standards of Reliability)</w:t>
        <w:tab/>
        <w:t xml:space="preserve">]</w:t>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33">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0" w:line="259" w:lineRule="auto"/>
        <w:ind w:left="1800" w:firstLine="0"/>
        <w:rPr>
          <w:color w:val="000000"/>
        </w:rPr>
      </w:pPr>
      <w:r w:rsidDel="00000000" w:rsidR="00000000" w:rsidRPr="00000000">
        <w:rPr>
          <w:rtl w:val="0"/>
        </w:rPr>
        <w:t xml:space="preserve">     </w:t>
      </w:r>
      <w:r w:rsidDel="00000000" w:rsidR="00000000" w:rsidRPr="00000000">
        <w:rPr>
          <w:rFonts w:ascii="Arial" w:cs="Arial" w:eastAsia="Arial" w:hAnsi="Arial"/>
          <w:color w:val="000000"/>
          <w:sz w:val="24"/>
          <w:szCs w:val="24"/>
          <w:rtl w:val="0"/>
        </w:rPr>
        <w:tab/>
      </w:r>
      <w:r w:rsidDel="00000000" w:rsidR="00000000" w:rsidRPr="00000000">
        <w:rPr>
          <w:rtl w:val="0"/>
        </w:rPr>
      </w:r>
    </w:p>
    <w:p w:rsidR="00000000" w:rsidDel="00000000" w:rsidP="00000000" w:rsidRDefault="00000000" w:rsidRPr="00000000" w14:paraId="00000035">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Schedules for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Call-Off reference number]</w:t>
        <w:tab/>
        <w:tab/>
        <w:tab/>
      </w:r>
    </w:p>
    <w:p w:rsidR="00000000" w:rsidDel="00000000" w:rsidP="00000000" w:rsidRDefault="00000000" w:rsidRPr="00000000" w14:paraId="00000036">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37">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5 (Pricing Details)</w:t>
        <w:tab/>
        <w:tab/>
        <w:tab/>
        <w:t xml:space="preserve">                      ]</w:t>
      </w:r>
    </w:p>
    <w:p w:rsidR="00000000" w:rsidDel="00000000" w:rsidP="00000000" w:rsidRDefault="00000000" w:rsidRPr="00000000" w14:paraId="0000003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6 (ICT Services) </w:t>
        <w:tab/>
        <w:tab/>
        <w:tab/>
        <w:tab/>
        <w:tab/>
        <w:t xml:space="preserve"> ]</w:t>
      </w:r>
    </w:p>
    <w:p w:rsidR="00000000" w:rsidDel="00000000" w:rsidP="00000000" w:rsidRDefault="00000000" w:rsidRPr="00000000" w14:paraId="0000003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7 (Key Supplier Staff)</w:t>
        <w:tab/>
        <w:tab/>
        <w:t xml:space="preserve"> </w:t>
        <w:tab/>
        <w:tab/>
        <w:t xml:space="preserve"> ]</w:t>
      </w:r>
    </w:p>
    <w:p w:rsidR="00000000" w:rsidDel="00000000" w:rsidP="00000000" w:rsidRDefault="00000000" w:rsidRPr="00000000" w14:paraId="0000003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8 (Business Continuity and Disaster Recovery)]</w:t>
      </w:r>
    </w:p>
    <w:p w:rsidR="00000000" w:rsidDel="00000000" w:rsidP="00000000" w:rsidRDefault="00000000" w:rsidRPr="00000000" w14:paraId="0000003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9 (Security)</w:t>
        <w:tab/>
        <w:tab/>
        <w:t xml:space="preserve"> </w:t>
        <w:tab/>
        <w:tab/>
        <w:t xml:space="preserve">  </w:t>
        <w:tab/>
        <w:t xml:space="preserve"> ] </w:t>
      </w:r>
    </w:p>
    <w:p w:rsidR="00000000" w:rsidDel="00000000" w:rsidP="00000000" w:rsidRDefault="00000000" w:rsidRPr="00000000" w14:paraId="0000003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10 (Exit Management) </w:t>
        <w:tab/>
        <w:tab/>
        <w:tab/>
        <w:t xml:space="preserve"> </w:t>
        <w:tab/>
        <w:t xml:space="preserve"> ]</w:t>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[Call-Off Schedule 12 (Clustering) </w:t>
        <w:tab/>
        <w:t xml:space="preserve">        </w:t>
        <w:tab/>
        <w:tab/>
        <w:tab/>
        <w:t xml:space="preserve">            ]</w:t>
      </w:r>
    </w:p>
    <w:p w:rsidR="00000000" w:rsidDel="00000000" w:rsidP="00000000" w:rsidRDefault="00000000" w:rsidRPr="00000000" w14:paraId="0000003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13 (Implementation Plan and Testing) </w:t>
        <w:tab/>
        <w:tab/>
        <w:t xml:space="preserve"> ]</w:t>
      </w:r>
    </w:p>
    <w:p w:rsidR="00000000" w:rsidDel="00000000" w:rsidP="00000000" w:rsidRDefault="00000000" w:rsidRPr="00000000" w14:paraId="0000004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14 (Service Levels) </w:t>
        <w:tab/>
        <w:tab/>
        <w:tab/>
        <w:tab/>
        <w:t xml:space="preserve"> ]</w:t>
      </w:r>
    </w:p>
    <w:p w:rsidR="00000000" w:rsidDel="00000000" w:rsidP="00000000" w:rsidRDefault="00000000" w:rsidRPr="00000000" w14:paraId="0000004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15 (Call-Off Contract Management) </w:t>
        <w:tab/>
        <w:tab/>
        <w:t xml:space="preserve"> ]</w:t>
      </w:r>
    </w:p>
    <w:p w:rsidR="00000000" w:rsidDel="00000000" w:rsidP="00000000" w:rsidRDefault="00000000" w:rsidRPr="00000000" w14:paraId="0000004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16 (Benchmarking) </w:t>
        <w:tab/>
        <w:tab/>
        <w:tab/>
        <w:tab/>
        <w:t xml:space="preserve"> ]</w:t>
      </w:r>
    </w:p>
    <w:p w:rsidR="00000000" w:rsidDel="00000000" w:rsidP="00000000" w:rsidRDefault="00000000" w:rsidRPr="00000000" w14:paraId="00000043">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17 (MOD Terms) </w:t>
        <w:tab/>
        <w:tab/>
        <w:tab/>
        <w:tab/>
        <w:tab/>
        <w:t xml:space="preserve"> ]</w:t>
      </w:r>
    </w:p>
    <w:p w:rsidR="00000000" w:rsidDel="00000000" w:rsidP="00000000" w:rsidRDefault="00000000" w:rsidRPr="00000000" w14:paraId="00000044">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18 (Background Checks) </w:t>
        <w:tab/>
        <w:tab/>
        <w:tab/>
        <w:t xml:space="preserve"> ]</w:t>
      </w:r>
    </w:p>
    <w:p w:rsidR="00000000" w:rsidDel="00000000" w:rsidP="00000000" w:rsidRDefault="00000000" w:rsidRPr="00000000" w14:paraId="00000045">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19 (Scottish Law)</w:t>
        <w:tab/>
        <w:tab/>
        <w:tab/>
        <w:tab/>
        <w:tab/>
        <w:t xml:space="preserve"> ]</w:t>
      </w:r>
    </w:p>
    <w:p w:rsidR="00000000" w:rsidDel="00000000" w:rsidP="00000000" w:rsidRDefault="00000000" w:rsidRPr="00000000" w14:paraId="00000046">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20 (Call-Off Specification)</w:t>
        <w:tab/>
        <w:tab/>
        <w:tab/>
        <w:t xml:space="preserve"> ]</w:t>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21 (Northern Ireland Law) </w:t>
        <w:tab/>
        <w:tab/>
        <w:tab/>
        <w:t xml:space="preserve"> ]</w:t>
      </w:r>
    </w:p>
    <w:p w:rsidR="00000000" w:rsidDel="00000000" w:rsidP="00000000" w:rsidRDefault="00000000" w:rsidRPr="00000000" w14:paraId="0000004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highlight w:val="yellow"/>
          <w:rtl w:val="0"/>
        </w:rPr>
        <w:t xml:space="preserve">[</w:t>
      </w:r>
      <w:r w:rsidDel="00000000" w:rsidR="00000000" w:rsidRPr="00000000">
        <w:rPr>
          <w:rFonts w:ascii="Arial" w:cs="Arial" w:eastAsia="Arial" w:hAnsi="Arial"/>
          <w:color w:val="000000"/>
          <w:sz w:val="24"/>
          <w:szCs w:val="24"/>
          <w:highlight w:val="yellow"/>
          <w:rtl w:val="0"/>
        </w:rPr>
        <w:t xml:space="preserve">Call-Off Schedule 23 (HMRC Terms)                                         ]   </w:t>
      </w:r>
    </w:p>
    <w:p w:rsidR="00000000" w:rsidDel="00000000" w:rsidP="00000000" w:rsidRDefault="00000000" w:rsidRPr="00000000" w14:paraId="00000049">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w:t>
      </w:r>
      <w:r w:rsidDel="00000000" w:rsidR="00000000" w:rsidRPr="00000000">
        <w:rPr>
          <w:rFonts w:ascii="Arial" w:cs="Arial" w:eastAsia="Arial" w:hAnsi="Arial"/>
          <w:sz w:val="24"/>
          <w:szCs w:val="24"/>
          <w:rtl w:val="0"/>
        </w:rPr>
        <w:t xml:space="preserve">10</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4A">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Joint Schedule 5 (Corporate Social Responsibility) </w:t>
      </w:r>
      <w:r w:rsidDel="00000000" w:rsidR="00000000" w:rsidRPr="00000000">
        <w:rPr>
          <w:rtl w:val="0"/>
        </w:rPr>
        <w:t xml:space="preserve">     </w:t>
      </w:r>
      <w:r w:rsidDel="00000000" w:rsidR="00000000" w:rsidRPr="00000000">
        <w:rPr>
          <w:rFonts w:ascii="Arial" w:cs="Arial" w:eastAsia="Arial" w:hAnsi="Arial"/>
          <w:b w:val="1"/>
          <w:color w:val="000000"/>
          <w:sz w:val="24"/>
          <w:szCs w:val="24"/>
          <w:rtl w:val="0"/>
        </w:rPr>
        <w:t xml:space="preserve">RM6187</w:t>
      </w:r>
      <w:r w:rsidDel="00000000" w:rsidR="00000000" w:rsidRPr="00000000">
        <w:rPr>
          <w:rtl w:val="0"/>
        </w:rPr>
      </w:r>
    </w:p>
    <w:p w:rsidR="00000000" w:rsidDel="00000000" w:rsidP="00000000" w:rsidRDefault="00000000" w:rsidRPr="00000000" w14:paraId="0000004B">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4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4E">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5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5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Call Off Schedule</w:t>
      </w:r>
      <w:bookmarkStart w:colFirst="0" w:colLast="0" w:name="bookmark=id.gjdgxs" w:id="1"/>
      <w:bookmarkEnd w:id="1"/>
      <w:r w:rsidDel="00000000" w:rsidR="00000000" w:rsidRPr="00000000">
        <w:rPr>
          <w:rFonts w:ascii="Arial" w:cs="Arial" w:eastAsia="Arial" w:hAnsi="Arial"/>
          <w:sz w:val="24"/>
          <w:szCs w:val="24"/>
          <w:rtl w:val="0"/>
        </w:rPr>
        <w:t xml:space="preserve">s; or none)</w:t>
      </w:r>
    </w:p>
    <w:p w:rsidR="00000000" w:rsidDel="00000000" w:rsidP="00000000" w:rsidRDefault="00000000" w:rsidRPr="00000000" w14:paraId="00000052">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3">
      <w:pPr>
        <w:tabs>
          <w:tab w:val="left" w:pos="2257"/>
        </w:tabs>
        <w:spacing w:after="0" w:line="259" w:lineRule="auto"/>
        <w:rPr>
          <w:rFonts w:ascii="Arial" w:cs="Arial" w:eastAsia="Arial" w:hAnsi="Arial"/>
          <w:i w:val="1"/>
          <w:color w:val="222222"/>
          <w:highlight w:val="white"/>
        </w:rPr>
      </w:pPr>
      <w:r w:rsidDel="00000000" w:rsidR="00000000" w:rsidRPr="00000000">
        <w:rPr>
          <w:rFonts w:ascii="Arial" w:cs="Arial" w:eastAsia="Arial" w:hAnsi="Arial"/>
          <w:i w:val="1"/>
          <w:color w:val="222222"/>
          <w:highlight w:val="white"/>
          <w:rtl w:val="0"/>
        </w:rPr>
        <w:t xml:space="preserve">Special term 1 - The Buyer is only liable to reimburse the Supplier for any expense or any disbursement which is </w:t>
      </w:r>
    </w:p>
    <w:p w:rsidR="00000000" w:rsidDel="00000000" w:rsidP="00000000" w:rsidRDefault="00000000" w:rsidRPr="00000000" w14:paraId="00000054">
      <w:pPr>
        <w:tabs>
          <w:tab w:val="left" w:pos="2257"/>
        </w:tabs>
        <w:spacing w:after="0" w:line="259" w:lineRule="auto"/>
        <w:rPr>
          <w:rFonts w:ascii="Arial" w:cs="Arial" w:eastAsia="Arial" w:hAnsi="Arial"/>
          <w:i w:val="1"/>
          <w:color w:val="222222"/>
          <w:highlight w:val="white"/>
        </w:rPr>
      </w:pPr>
      <w:r w:rsidDel="00000000" w:rsidR="00000000" w:rsidRPr="00000000">
        <w:rPr>
          <w:rFonts w:ascii="Arial" w:cs="Arial" w:eastAsia="Arial" w:hAnsi="Arial"/>
          <w:i w:val="1"/>
          <w:color w:val="222222"/>
          <w:highlight w:val="white"/>
          <w:rtl w:val="0"/>
        </w:rPr>
        <w:tab/>
        <w:t xml:space="preserve">(i) specified in this Contract or </w:t>
      </w:r>
    </w:p>
    <w:p w:rsidR="00000000" w:rsidDel="00000000" w:rsidP="00000000" w:rsidRDefault="00000000" w:rsidRPr="00000000" w14:paraId="0000005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i w:val="1"/>
          <w:color w:val="222222"/>
          <w:highlight w:val="white"/>
          <w:rtl w:val="0"/>
        </w:rPr>
        <w:tab/>
        <w:t xml:space="preserve">(ii) which the Buyer has Approved prior to the Supplier incurring that </w:t>
        <w:tab/>
        <w:t xml:space="preserve">expense or that disbursement. The Supplier may not invoice the </w:t>
        <w:tab/>
        <w:tab/>
        <w:t xml:space="preserve">Buyer for any other expenses or any other disbursements</w:t>
      </w:r>
      <w:r w:rsidDel="00000000" w:rsidR="00000000" w:rsidRPr="00000000">
        <w:rPr>
          <w:rFonts w:ascii="Arial" w:cs="Arial" w:eastAsia="Arial" w:hAnsi="Arial"/>
          <w:sz w:val="24"/>
          <w:szCs w:val="24"/>
          <w:rtl w:val="0"/>
        </w:rPr>
        <w:tab/>
        <w:tab/>
        <w:tab/>
        <w:tab/>
        <w:tab/>
        <w:tab/>
      </w:r>
    </w:p>
    <w:p w:rsidR="00000000" w:rsidDel="00000000" w:rsidP="00000000" w:rsidRDefault="00000000" w:rsidRPr="00000000" w14:paraId="0000005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057">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tab/>
        <w:tab/>
        <w:tab/>
        <w:tab/>
        <w:tab/>
        <w:tab/>
        <w:tab/>
        <w:tab/>
        <w:tab/>
        <w:t xml:space="preserve">]</w:t>
      </w:r>
    </w:p>
    <w:p w:rsidR="00000000" w:rsidDel="00000000" w:rsidP="00000000" w:rsidRDefault="00000000" w:rsidRPr="00000000" w14:paraId="00000058">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59">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A">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5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C">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5D">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E">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5F">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0">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6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62">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63">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r w:rsidDel="00000000" w:rsidR="00000000" w:rsidRPr="00000000">
        <w:rPr>
          <w:rtl w:val="0"/>
        </w:rPr>
      </w:r>
    </w:p>
    <w:p w:rsidR="00000000" w:rsidDel="00000000" w:rsidP="00000000" w:rsidRDefault="00000000" w:rsidRPr="00000000" w14:paraId="00000064">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6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6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68">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9">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6A">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6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6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6E">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r w:rsidDel="00000000" w:rsidR="00000000" w:rsidRPr="00000000">
        <w:rPr>
          <w:rtl w:val="0"/>
        </w:rPr>
      </w:r>
    </w:p>
    <w:p w:rsidR="00000000" w:rsidDel="00000000" w:rsidP="00000000" w:rsidRDefault="00000000" w:rsidRPr="00000000" w14:paraId="0000006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07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by direct award or if not otherwise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71">
      <w:pPr>
        <w:numPr>
          <w:ilvl w:val="0"/>
          <w:numId w:val="3"/>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Change in Law]</w:t>
      </w:r>
    </w:p>
    <w:p w:rsidR="00000000" w:rsidDel="00000000" w:rsidP="00000000" w:rsidRDefault="00000000" w:rsidRPr="00000000" w14:paraId="00000072">
      <w:pPr>
        <w:numPr>
          <w:ilvl w:val="0"/>
          <w:numId w:val="3"/>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[Benchmarking using Call-Off Schedule 16 (Benchmarking)]</w:t>
      </w:r>
    </w:p>
    <w:p w:rsidR="00000000" w:rsidDel="00000000" w:rsidP="00000000" w:rsidRDefault="00000000" w:rsidRPr="00000000" w14:paraId="00000073">
      <w:pPr>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7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Framework Contract]</w:t>
      </w:r>
      <w:r w:rsidDel="00000000" w:rsidR="00000000" w:rsidRPr="00000000">
        <w:rPr>
          <w:rtl w:val="0"/>
        </w:rPr>
      </w:r>
    </w:p>
    <w:p w:rsidR="00000000" w:rsidDel="00000000" w:rsidP="00000000" w:rsidRDefault="00000000" w:rsidRPr="00000000" w14:paraId="00000076">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7">
      <w:pPr>
        <w:tabs>
          <w:tab w:val="left" w:pos="2257"/>
        </w:tabs>
        <w:spacing w:after="0" w:line="259" w:lineRule="auto"/>
        <w:rPr>
          <w:rFonts w:ascii="Arial" w:cs="Arial" w:eastAsia="Arial" w:hAnsi="Arial"/>
          <w:sz w:val="24"/>
          <w:szCs w:val="24"/>
        </w:rPr>
      </w:pPr>
      <w:bookmarkStart w:colFirst="0" w:colLast="0" w:name="_heading=h.30j0zll" w:id="2"/>
      <w:bookmarkEnd w:id="2"/>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78">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79">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7B">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7C">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7D">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7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7F">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81">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2">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3">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5">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8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8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89">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8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8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8D">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8F">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0">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1">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3">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95">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6">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7">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9">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9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9C">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9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9F">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A1">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2">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3">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5">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A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A8">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A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AB">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A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A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0A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B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0" w:line="240" w:lineRule="auto"/>
        <w:ind w:left="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B2">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3">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B5">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6">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B7">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B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A">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0B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0BC">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BD">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BE">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0BF">
      <w:pPr>
        <w:spacing w:after="240" w:lineRule="auto"/>
        <w:jc w:val="both"/>
        <w:rPr>
          <w:rFonts w:ascii="Arial" w:cs="Arial" w:eastAsia="Arial" w:hAnsi="Arial"/>
          <w:sz w:val="24"/>
          <w:szCs w:val="24"/>
        </w:rPr>
      </w:pPr>
      <w:r w:rsidDel="00000000" w:rsidR="00000000" w:rsidRPr="00000000">
        <w:rPr>
          <w:rtl w:val="0"/>
        </w:rPr>
      </w:r>
    </w:p>
    <w:tbl>
      <w:tblPr>
        <w:tblStyle w:val="Table1"/>
        <w:tblW w:w="9170.0" w:type="dxa"/>
        <w:jc w:val="left"/>
        <w:tblInd w:w="0.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trHeight w:val="635" w:hRule="atLeast"/>
        </w:trPr>
        <w:tc>
          <w:tcPr>
            <w:gridSpan w:val="2"/>
          </w:tcPr>
          <w:p w:rsidR="00000000" w:rsidDel="00000000" w:rsidP="00000000" w:rsidRDefault="00000000" w:rsidRPr="00000000" w14:paraId="000000C0">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C2">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trHeight w:val="635" w:hRule="atLeast"/>
        </w:trPr>
        <w:tc>
          <w:tcPr/>
          <w:p w:rsidR="00000000" w:rsidDel="00000000" w:rsidP="00000000" w:rsidRDefault="00000000" w:rsidRPr="00000000" w14:paraId="000000C4">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C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6">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C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trHeight w:val="635" w:hRule="atLeast"/>
        </w:trPr>
        <w:tc>
          <w:tcPr/>
          <w:p w:rsidR="00000000" w:rsidDel="00000000" w:rsidP="00000000" w:rsidRDefault="00000000" w:rsidRPr="00000000" w14:paraId="000000C8">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C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A">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C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trHeight w:val="635" w:hRule="atLeast"/>
        </w:trPr>
        <w:tc>
          <w:tcPr/>
          <w:p w:rsidR="00000000" w:rsidDel="00000000" w:rsidP="00000000" w:rsidRDefault="00000000" w:rsidRPr="00000000" w14:paraId="000000CC">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C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E">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CF">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trHeight w:val="863" w:hRule="atLeast"/>
        </w:trPr>
        <w:tc>
          <w:tcPr/>
          <w:p w:rsidR="00000000" w:rsidDel="00000000" w:rsidP="00000000" w:rsidRDefault="00000000" w:rsidRPr="00000000" w14:paraId="000000D0">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2">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3">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D4">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D5">
      <w:pPr>
        <w:rPr>
          <w:rFonts w:ascii="Arial" w:cs="Arial" w:eastAsia="Arial" w:hAnsi="Arial"/>
          <w:color w:val="1f497d"/>
          <w:sz w:val="24"/>
          <w:szCs w:val="24"/>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D6">
      <w:pPr>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0D7">
      <w:pPr>
        <w:tabs>
          <w:tab w:val="left" w:pos="2257"/>
        </w:tabs>
        <w:spacing w:after="0" w:line="259" w:lineRule="auto"/>
        <w:rPr>
          <w:rFonts w:ascii="Arial" w:cs="Arial" w:eastAsia="Arial" w:hAnsi="Arial"/>
        </w:rPr>
      </w:pPr>
      <w:r w:rsidDel="00000000" w:rsidR="00000000" w:rsidRPr="00000000">
        <w:rPr>
          <w:rtl w:val="0"/>
        </w:rPr>
      </w:r>
    </w:p>
    <w:p w:rsidR="00000000" w:rsidDel="00000000" w:rsidP="00000000" w:rsidRDefault="00000000" w:rsidRPr="00000000" w14:paraId="000000D8">
      <w:pPr>
        <w:tabs>
          <w:tab w:val="left" w:pos="2257"/>
        </w:tabs>
        <w:spacing w:after="0" w:line="259" w:lineRule="auto"/>
        <w:rPr>
          <w:rFonts w:ascii="Arial" w:cs="Arial" w:eastAsia="Arial" w:hAnsi="Arial"/>
        </w:rPr>
      </w:pPr>
      <w:r w:rsidDel="00000000" w:rsidR="00000000" w:rsidRPr="00000000">
        <w:rPr>
          <w:rtl w:val="0"/>
        </w:rPr>
      </w:r>
    </w:p>
    <w:p w:rsidR="00000000" w:rsidDel="00000000" w:rsidP="00000000" w:rsidRDefault="00000000" w:rsidRPr="00000000" w14:paraId="000000D9">
      <w:pPr>
        <w:tabs>
          <w:tab w:val="left" w:pos="2257"/>
        </w:tabs>
        <w:spacing w:after="0" w:line="259" w:lineRule="auto"/>
        <w:rPr>
          <w:rFonts w:ascii="Arial" w:cs="Arial" w:eastAsia="Arial" w:hAnsi="Arial"/>
        </w:rPr>
      </w:pPr>
      <w:r w:rsidDel="00000000" w:rsidR="00000000" w:rsidRPr="00000000">
        <w:rPr>
          <w:rtl w:val="0"/>
        </w:rPr>
      </w:r>
    </w:p>
    <w:p w:rsidR="00000000" w:rsidDel="00000000" w:rsidP="00000000" w:rsidRDefault="00000000" w:rsidRPr="00000000" w14:paraId="000000DA">
      <w:pPr>
        <w:tabs>
          <w:tab w:val="left" w:pos="2257"/>
        </w:tabs>
        <w:spacing w:after="0" w:line="259" w:lineRule="auto"/>
        <w:rPr>
          <w:rFonts w:ascii="Arial" w:cs="Arial" w:eastAsia="Arial" w:hAnsi="Arial"/>
        </w:rPr>
      </w:pPr>
      <w:r w:rsidDel="00000000" w:rsidR="00000000" w:rsidRPr="00000000">
        <w:rPr>
          <w:rtl w:val="0"/>
        </w:rPr>
      </w:r>
    </w:p>
    <w:p w:rsidR="00000000" w:rsidDel="00000000" w:rsidP="00000000" w:rsidRDefault="00000000" w:rsidRPr="00000000" w14:paraId="000000DB">
      <w:pPr>
        <w:tabs>
          <w:tab w:val="left" w:pos="2257"/>
        </w:tabs>
        <w:spacing w:after="0" w:line="259" w:lineRule="auto"/>
        <w:rPr>
          <w:rFonts w:ascii="Arial" w:cs="Arial" w:eastAsia="Arial" w:hAnsi="Arial"/>
        </w:rPr>
      </w:pPr>
      <w:r w:rsidDel="00000000" w:rsidR="00000000" w:rsidRPr="00000000">
        <w:rPr>
          <w:rtl w:val="0"/>
        </w:rPr>
      </w:r>
    </w:p>
    <w:p w:rsidR="00000000" w:rsidDel="00000000" w:rsidP="00000000" w:rsidRDefault="00000000" w:rsidRPr="00000000" w14:paraId="000000DC">
      <w:pPr>
        <w:tabs>
          <w:tab w:val="left" w:pos="2257"/>
        </w:tabs>
        <w:spacing w:after="0" w:line="259" w:lineRule="auto"/>
        <w:rPr>
          <w:rFonts w:ascii="Arial" w:cs="Arial" w:eastAsia="Arial" w:hAnsi="Arial"/>
        </w:rPr>
      </w:pPr>
      <w:r w:rsidDel="00000000" w:rsidR="00000000" w:rsidRPr="00000000">
        <w:rPr>
          <w:rtl w:val="0"/>
        </w:rPr>
      </w:r>
    </w:p>
    <w:p w:rsidR="00000000" w:rsidDel="00000000" w:rsidP="00000000" w:rsidRDefault="00000000" w:rsidRPr="00000000" w14:paraId="000000DD">
      <w:pPr>
        <w:tabs>
          <w:tab w:val="left" w:pos="2257"/>
        </w:tabs>
        <w:spacing w:after="0" w:line="259" w:lineRule="auto"/>
        <w:rPr>
          <w:rFonts w:ascii="Arial" w:cs="Arial" w:eastAsia="Arial" w:hAnsi="Arial"/>
        </w:rPr>
      </w:pPr>
      <w:r w:rsidDel="00000000" w:rsidR="00000000" w:rsidRPr="00000000">
        <w:rPr>
          <w:rtl w:val="0"/>
        </w:rPr>
      </w:r>
    </w:p>
    <w:p w:rsidR="00000000" w:rsidDel="00000000" w:rsidP="00000000" w:rsidRDefault="00000000" w:rsidRPr="00000000" w14:paraId="000000DE">
      <w:pPr>
        <w:tabs>
          <w:tab w:val="left" w:pos="2257"/>
        </w:tabs>
        <w:spacing w:after="0" w:line="259" w:lineRule="auto"/>
        <w:rPr/>
      </w:pPr>
      <w:r w:rsidDel="00000000" w:rsidR="00000000" w:rsidRPr="00000000">
        <w:rPr>
          <w:rtl w:val="0"/>
        </w:rPr>
      </w:r>
    </w:p>
    <w:p w:rsidR="00000000" w:rsidDel="00000000" w:rsidP="00000000" w:rsidRDefault="00000000" w:rsidRPr="00000000" w14:paraId="000000DF">
      <w:pPr>
        <w:tabs>
          <w:tab w:val="left" w:pos="2257"/>
        </w:tabs>
        <w:spacing w:after="0" w:line="259" w:lineRule="auto"/>
        <w:rPr/>
      </w:pPr>
      <w:r w:rsidDel="00000000" w:rsidR="00000000" w:rsidRPr="00000000">
        <w:rPr>
          <w:rtl w:val="0"/>
        </w:rPr>
      </w:r>
    </w:p>
    <w:p w:rsidR="00000000" w:rsidDel="00000000" w:rsidP="00000000" w:rsidRDefault="00000000" w:rsidRPr="00000000" w14:paraId="000000E0">
      <w:pPr>
        <w:tabs>
          <w:tab w:val="left" w:pos="2257"/>
        </w:tabs>
        <w:spacing w:after="0" w:line="259" w:lineRule="auto"/>
        <w:rPr/>
      </w:pPr>
      <w:r w:rsidDel="00000000" w:rsidR="00000000" w:rsidRPr="00000000">
        <w:rPr>
          <w:rtl w:val="0"/>
        </w:rPr>
      </w:r>
    </w:p>
    <w:p w:rsidR="00000000" w:rsidDel="00000000" w:rsidP="00000000" w:rsidRDefault="00000000" w:rsidRPr="00000000" w14:paraId="000000E1">
      <w:pPr>
        <w:tabs>
          <w:tab w:val="left" w:pos="2257"/>
        </w:tabs>
        <w:spacing w:after="0" w:line="259" w:lineRule="auto"/>
        <w:rPr/>
      </w:pPr>
      <w:r w:rsidDel="00000000" w:rsidR="00000000" w:rsidRPr="00000000">
        <w:rPr>
          <w:rtl w:val="0"/>
        </w:rPr>
      </w:r>
    </w:p>
    <w:p w:rsidR="00000000" w:rsidDel="00000000" w:rsidP="00000000" w:rsidRDefault="00000000" w:rsidRPr="00000000" w14:paraId="000000E2">
      <w:pPr>
        <w:tabs>
          <w:tab w:val="left" w:pos="2257"/>
        </w:tabs>
        <w:spacing w:after="0" w:line="259" w:lineRule="auto"/>
        <w:rPr/>
      </w:pPr>
      <w:r w:rsidDel="00000000" w:rsidR="00000000" w:rsidRPr="00000000">
        <w:rPr>
          <w:rtl w:val="0"/>
        </w:rPr>
      </w:r>
    </w:p>
    <w:p w:rsidR="00000000" w:rsidDel="00000000" w:rsidP="00000000" w:rsidRDefault="00000000" w:rsidRPr="00000000" w14:paraId="000000E3">
      <w:pPr>
        <w:tabs>
          <w:tab w:val="left" w:pos="2257"/>
        </w:tabs>
        <w:spacing w:after="0" w:line="259" w:lineRule="auto"/>
        <w:rPr/>
      </w:pPr>
      <w:r w:rsidDel="00000000" w:rsidR="00000000" w:rsidRPr="00000000">
        <w:rPr>
          <w:rtl w:val="0"/>
        </w:rPr>
      </w:r>
    </w:p>
    <w:p w:rsidR="00000000" w:rsidDel="00000000" w:rsidP="00000000" w:rsidRDefault="00000000" w:rsidRPr="00000000" w14:paraId="000000E4">
      <w:pPr>
        <w:tabs>
          <w:tab w:val="left" w:pos="2257"/>
        </w:tabs>
        <w:spacing w:after="0" w:line="259" w:lineRule="auto"/>
        <w:rPr/>
      </w:pPr>
      <w:r w:rsidDel="00000000" w:rsidR="00000000" w:rsidRPr="00000000">
        <w:rPr>
          <w:rtl w:val="0"/>
        </w:rPr>
      </w:r>
    </w:p>
    <w:p w:rsidR="00000000" w:rsidDel="00000000" w:rsidP="00000000" w:rsidRDefault="00000000" w:rsidRPr="00000000" w14:paraId="000000E5">
      <w:pPr>
        <w:tabs>
          <w:tab w:val="left" w:pos="2257"/>
        </w:tabs>
        <w:spacing w:after="0" w:line="259" w:lineRule="auto"/>
        <w:rPr/>
      </w:pPr>
      <w:r w:rsidDel="00000000" w:rsidR="00000000" w:rsidRPr="00000000">
        <w:rPr>
          <w:rtl w:val="0"/>
        </w:rPr>
      </w:r>
    </w:p>
    <w:p w:rsidR="00000000" w:rsidDel="00000000" w:rsidP="00000000" w:rsidRDefault="00000000" w:rsidRPr="00000000" w14:paraId="000000E6">
      <w:pPr>
        <w:tabs>
          <w:tab w:val="left" w:pos="2257"/>
        </w:tabs>
        <w:spacing w:after="0" w:line="259" w:lineRule="auto"/>
        <w:rPr/>
      </w:pPr>
      <w:r w:rsidDel="00000000" w:rsidR="00000000" w:rsidRPr="00000000">
        <w:rPr>
          <w:rtl w:val="0"/>
        </w:rPr>
      </w:r>
    </w:p>
    <w:p w:rsidR="00000000" w:rsidDel="00000000" w:rsidP="00000000" w:rsidRDefault="00000000" w:rsidRPr="00000000" w14:paraId="000000E7">
      <w:pPr>
        <w:tabs>
          <w:tab w:val="left" w:pos="2257"/>
        </w:tabs>
        <w:spacing w:after="0" w:line="259" w:lineRule="auto"/>
        <w:rPr/>
      </w:pPr>
      <w:r w:rsidDel="00000000" w:rsidR="00000000" w:rsidRPr="00000000">
        <w:rPr>
          <w:rtl w:val="0"/>
        </w:rPr>
      </w:r>
    </w:p>
    <w:p w:rsidR="00000000" w:rsidDel="00000000" w:rsidP="00000000" w:rsidRDefault="00000000" w:rsidRPr="00000000" w14:paraId="000000E8">
      <w:pPr>
        <w:tabs>
          <w:tab w:val="left" w:pos="2257"/>
        </w:tabs>
        <w:spacing w:after="0" w:line="259" w:lineRule="auto"/>
        <w:rPr/>
      </w:pPr>
      <w:r w:rsidDel="00000000" w:rsidR="00000000" w:rsidRPr="00000000">
        <w:rPr>
          <w:rtl w:val="0"/>
        </w:rPr>
      </w:r>
    </w:p>
    <w:p w:rsidR="00000000" w:rsidDel="00000000" w:rsidP="00000000" w:rsidRDefault="00000000" w:rsidRPr="00000000" w14:paraId="000000E9">
      <w:pPr>
        <w:tabs>
          <w:tab w:val="left" w:pos="2257"/>
        </w:tabs>
        <w:spacing w:after="0" w:line="259" w:lineRule="auto"/>
        <w:rPr/>
      </w:pPr>
      <w:r w:rsidDel="00000000" w:rsidR="00000000" w:rsidRPr="00000000">
        <w:rPr>
          <w:rtl w:val="0"/>
        </w:rPr>
      </w:r>
    </w:p>
    <w:p w:rsidR="00000000" w:rsidDel="00000000" w:rsidP="00000000" w:rsidRDefault="00000000" w:rsidRPr="00000000" w14:paraId="000000EA">
      <w:pPr>
        <w:tabs>
          <w:tab w:val="left" w:pos="2257"/>
        </w:tabs>
        <w:spacing w:after="0" w:line="259" w:lineRule="auto"/>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tabs>
        <w:tab w:val="center" w:pos="4513"/>
        <w:tab w:val="right" w:pos="9026"/>
      </w:tabs>
      <w:spacing w:after="0" w:lineRule="auto"/>
      <w:jc w:val="both"/>
      <w:rPr>
        <w:color w:val="a6a6a6"/>
      </w:rPr>
    </w:pPr>
    <w:r w:rsidDel="00000000" w:rsidR="00000000" w:rsidRPr="00000000">
      <w:rPr>
        <w:rtl w:val="0"/>
      </w:rPr>
    </w:r>
  </w:p>
  <w:p w:rsidR="00000000" w:rsidDel="00000000" w:rsidP="00000000" w:rsidRDefault="00000000" w:rsidRPr="00000000" w14:paraId="000000F0">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2">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3">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RM6187</w:t>
      <w:tab/>
      <w:t xml:space="preserve">                                           </w:t>
    </w:r>
  </w:p>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5">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v3.7</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4"/>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num" w:pos="2880"/>
        <w:tab w:val="left" w:pos="3402"/>
      </w:tabs>
      <w:ind w:left="3402" w:hanging="567"/>
    </w:pPr>
  </w:style>
  <w:style w:type="paragraph" w:styleId="GPSL6numbered" w:customStyle="1">
    <w:name w:val="GPS L6 numbered"/>
    <w:basedOn w:val="GPSL5numberedclause"/>
    <w:qFormat w:val="1"/>
    <w:pPr>
      <w:numPr>
        <w:ilvl w:val="5"/>
      </w:numPr>
      <w:tabs>
        <w:tab w:val="num" w:pos="360"/>
        <w:tab w:val="num" w:pos="288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7Awt38XgXjWERimU7UBpa5bPwUA==">AMUW2mU5Ty0Dvw4W1JZj5KiyqgVqg9x7g3y5/FCwFxCpj90q9ML7iLEJ4Rou1ClGnY7oslKYgCGuYosr1auGCbyo3YOE7tKoSOpHDtHEOf5+RWi8ncWiZKj+B9GzHctux6t29jihbkhv/7TqwgnHgbnOw3XEPY2bZA==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2020-03-30T14:46:00Z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